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CE21" w14:textId="77777777" w:rsidR="008E4702" w:rsidRDefault="00920A0D" w:rsidP="00BB1367">
      <w:pPr>
        <w:tabs>
          <w:tab w:val="left" w:pos="3600"/>
        </w:tabs>
        <w:spacing w:line="360" w:lineRule="auto"/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5A7213D8" wp14:editId="65703748">
            <wp:simplePos x="0" y="0"/>
            <wp:positionH relativeFrom="column">
              <wp:posOffset>4654550</wp:posOffset>
            </wp:positionH>
            <wp:positionV relativeFrom="paragraph">
              <wp:posOffset>-160655</wp:posOffset>
            </wp:positionV>
            <wp:extent cx="1090386" cy="587266"/>
            <wp:effectExtent l="0" t="0" r="0" b="381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86" cy="587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7E4" w:rsidRPr="00D67BA9">
        <w:rPr>
          <w:rFonts w:ascii="Century Gothic" w:hAnsi="Century Gothic"/>
          <w:sz w:val="22"/>
          <w:szCs w:val="22"/>
        </w:rPr>
        <w:t xml:space="preserve">   </w:t>
      </w:r>
    </w:p>
    <w:p w14:paraId="4A9F7AB7" w14:textId="77777777" w:rsidR="00BD2C25" w:rsidRPr="00BB1367" w:rsidRDefault="00BD2C25" w:rsidP="00BB1367">
      <w:pPr>
        <w:pBdr>
          <w:bottom w:val="single" w:sz="4" w:space="1" w:color="auto"/>
        </w:pBdr>
        <w:rPr>
          <w:rFonts w:asciiTheme="minorHAnsi" w:eastAsia="PMingLiU" w:hAnsiTheme="minorHAnsi" w:cstheme="minorHAnsi"/>
          <w:b/>
          <w:sz w:val="26"/>
          <w:szCs w:val="26"/>
        </w:rPr>
      </w:pPr>
      <w:r w:rsidRPr="00BB1367">
        <w:rPr>
          <w:rFonts w:asciiTheme="minorHAnsi" w:eastAsia="PMingLiU" w:hAnsiTheme="minorHAnsi" w:cstheme="minorHAnsi"/>
          <w:b/>
          <w:sz w:val="26"/>
          <w:szCs w:val="26"/>
        </w:rPr>
        <w:t>Eigenanteil der Eltern bei der Beschaffung von Lernmitteln</w:t>
      </w:r>
    </w:p>
    <w:p w14:paraId="63339732" w14:textId="77777777" w:rsidR="00BD2C25" w:rsidRPr="004822F3" w:rsidRDefault="00BD2C25" w:rsidP="00BD2C25">
      <w:pPr>
        <w:rPr>
          <w:rFonts w:asciiTheme="minorHAnsi" w:eastAsia="PMingLiU" w:hAnsiTheme="minorHAnsi" w:cstheme="minorHAnsi"/>
        </w:rPr>
      </w:pPr>
    </w:p>
    <w:p w14:paraId="4D3C3566" w14:textId="77777777" w:rsidR="00BD2C25" w:rsidRPr="004822F3" w:rsidRDefault="00BD2C25" w:rsidP="00BB1367">
      <w:pPr>
        <w:rPr>
          <w:rFonts w:asciiTheme="minorHAnsi" w:eastAsia="PMingLiU" w:hAnsiTheme="minorHAnsi" w:cstheme="minorHAnsi"/>
          <w:sz w:val="22"/>
          <w:szCs w:val="22"/>
        </w:rPr>
      </w:pPr>
      <w:r w:rsidRPr="004822F3">
        <w:rPr>
          <w:rFonts w:asciiTheme="minorHAnsi" w:eastAsia="PMingLiU" w:hAnsiTheme="minorHAnsi" w:cstheme="minorHAnsi"/>
          <w:sz w:val="22"/>
          <w:szCs w:val="22"/>
        </w:rPr>
        <w:t>Sehr geehrte Eltern,</w:t>
      </w:r>
    </w:p>
    <w:p w14:paraId="19D97AE6" w14:textId="77777777" w:rsidR="00BE2C73" w:rsidRPr="004822F3" w:rsidRDefault="00BE2C73" w:rsidP="00BB1367">
      <w:pPr>
        <w:jc w:val="both"/>
        <w:rPr>
          <w:rFonts w:asciiTheme="minorHAnsi" w:eastAsia="PMingLiU" w:hAnsiTheme="minorHAnsi" w:cstheme="minorHAnsi"/>
          <w:sz w:val="22"/>
          <w:szCs w:val="22"/>
        </w:rPr>
      </w:pPr>
    </w:p>
    <w:p w14:paraId="474C9229" w14:textId="5DC0F2D9" w:rsidR="00066939" w:rsidRPr="004822F3" w:rsidRDefault="00746FA4" w:rsidP="00BB1367">
      <w:pPr>
        <w:jc w:val="both"/>
        <w:rPr>
          <w:rFonts w:asciiTheme="minorHAnsi" w:eastAsia="PMingLiU" w:hAnsiTheme="minorHAnsi" w:cstheme="minorHAnsi"/>
          <w:sz w:val="22"/>
          <w:szCs w:val="22"/>
        </w:rPr>
      </w:pPr>
      <w:r w:rsidRPr="004822F3">
        <w:rPr>
          <w:rFonts w:asciiTheme="minorHAnsi" w:eastAsia="PMingLiU" w:hAnsiTheme="minorHAnsi" w:cstheme="min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05C1FD" wp14:editId="00EFD1EB">
                <wp:simplePos x="0" y="0"/>
                <wp:positionH relativeFrom="column">
                  <wp:posOffset>5227955</wp:posOffset>
                </wp:positionH>
                <wp:positionV relativeFrom="paragraph">
                  <wp:posOffset>459740</wp:posOffset>
                </wp:positionV>
                <wp:extent cx="600075" cy="2762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762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72BF40" id="Ellipse 3" o:spid="_x0000_s1026" style="position:absolute;margin-left:411.65pt;margin-top:36.2pt;width:47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" filled="f" strokecolor="red" strokeweight="1.25pt"/>
            </w:pict>
          </mc:Fallback>
        </mc:AlternateContent>
      </w:r>
      <w:r w:rsidRPr="00746FA4">
        <w:rPr>
          <w:rFonts w:asciiTheme="minorHAnsi" w:eastAsia="PMingLiU" w:hAnsiTheme="minorHAnsi" w:cstheme="minorHAnsi"/>
          <w:sz w:val="22"/>
          <w:szCs w:val="22"/>
        </w:rPr>
        <w:t xml:space="preserve">gemäß §96 Schulgesetz </w:t>
      </w:r>
      <w:r w:rsidR="00066939" w:rsidRPr="004822F3">
        <w:rPr>
          <w:rFonts w:asciiTheme="minorHAnsi" w:eastAsia="PMingLiU" w:hAnsiTheme="minorHAnsi" w:cstheme="minorHAnsi"/>
          <w:sz w:val="22"/>
          <w:szCs w:val="22"/>
        </w:rPr>
        <w:t>beteiligen sich Eltern in Form eines Eigenanteils von einem Drittel</w:t>
      </w:r>
      <w:r w:rsidR="009D02C1" w:rsidRPr="004822F3">
        <w:rPr>
          <w:rFonts w:asciiTheme="minorHAnsi" w:eastAsia="PMingLiU" w:hAnsiTheme="minorHAnsi" w:cstheme="minorHAnsi"/>
          <w:sz w:val="22"/>
          <w:szCs w:val="22"/>
        </w:rPr>
        <w:t xml:space="preserve"> </w:t>
      </w:r>
      <w:r w:rsidR="00B833E3" w:rsidRPr="004822F3">
        <w:rPr>
          <w:rFonts w:asciiTheme="minorHAnsi" w:eastAsia="PMingLiU" w:hAnsiTheme="minorHAnsi" w:cstheme="minorHAnsi"/>
          <w:sz w:val="22"/>
          <w:szCs w:val="22"/>
        </w:rPr>
        <w:t xml:space="preserve">an den Kosten des </w:t>
      </w:r>
      <w:r w:rsidR="00BD2C25" w:rsidRPr="004822F3">
        <w:rPr>
          <w:rFonts w:asciiTheme="minorHAnsi" w:eastAsia="PMingLiU" w:hAnsiTheme="minorHAnsi" w:cstheme="minorHAnsi"/>
          <w:sz w:val="22"/>
          <w:szCs w:val="22"/>
        </w:rPr>
        <w:t>vom Schulträger zu beschaffenden Betrages</w:t>
      </w:r>
      <w:r w:rsidR="00B833E3" w:rsidRPr="004822F3">
        <w:rPr>
          <w:rFonts w:asciiTheme="minorHAnsi" w:eastAsia="PMingLiU" w:hAnsiTheme="minorHAnsi" w:cstheme="minorHAnsi"/>
          <w:sz w:val="22"/>
          <w:szCs w:val="22"/>
        </w:rPr>
        <w:t xml:space="preserve"> für Schulbücher</w:t>
      </w:r>
      <w:r w:rsidR="00066939" w:rsidRPr="004822F3">
        <w:rPr>
          <w:rFonts w:asciiTheme="minorHAnsi" w:eastAsia="PMingLiU" w:hAnsiTheme="minorHAnsi" w:cstheme="minorHAnsi"/>
          <w:sz w:val="22"/>
          <w:szCs w:val="22"/>
        </w:rPr>
        <w:t>.</w:t>
      </w:r>
      <w:r w:rsidR="00B833E3" w:rsidRPr="004822F3">
        <w:rPr>
          <w:rFonts w:asciiTheme="minorHAnsi" w:eastAsia="PMingLiU" w:hAnsiTheme="minorHAnsi" w:cstheme="minorHAnsi"/>
          <w:sz w:val="22"/>
          <w:szCs w:val="22"/>
        </w:rPr>
        <w:t xml:space="preserve"> </w:t>
      </w:r>
      <w:r w:rsidRPr="00746FA4">
        <w:rPr>
          <w:rFonts w:asciiTheme="minorHAnsi" w:eastAsia="PMingLiU" w:hAnsiTheme="minorHAnsi" w:cstheme="minorHAnsi"/>
          <w:sz w:val="22"/>
          <w:szCs w:val="22"/>
        </w:rPr>
        <w:t xml:space="preserve">Dieser Betrag liegt für die </w:t>
      </w:r>
      <w:r>
        <w:rPr>
          <w:rFonts w:asciiTheme="minorHAnsi" w:eastAsia="PMingLiU" w:hAnsiTheme="minorHAnsi" w:cstheme="minorHAnsi"/>
          <w:sz w:val="22"/>
          <w:szCs w:val="22"/>
        </w:rPr>
        <w:t>S</w:t>
      </w:r>
      <w:r w:rsidRPr="00746FA4">
        <w:rPr>
          <w:rFonts w:asciiTheme="minorHAnsi" w:eastAsia="PMingLiU" w:hAnsiTheme="minorHAnsi" w:cstheme="minorHAnsi"/>
          <w:sz w:val="22"/>
          <w:szCs w:val="22"/>
        </w:rPr>
        <w:t xml:space="preserve">ekundarstufe II bei ca. </w:t>
      </w:r>
      <w:r w:rsidR="001C6079">
        <w:rPr>
          <w:rFonts w:asciiTheme="minorHAnsi" w:eastAsia="PMingLiU" w:hAnsiTheme="minorHAnsi" w:cstheme="minorHAnsi"/>
          <w:sz w:val="22"/>
          <w:szCs w:val="22"/>
        </w:rPr>
        <w:t>31</w:t>
      </w:r>
      <w:r w:rsidRPr="00746FA4">
        <w:rPr>
          <w:rFonts w:asciiTheme="minorHAnsi" w:eastAsia="PMingLiU" w:hAnsiTheme="minorHAnsi" w:cstheme="minorHAnsi"/>
          <w:sz w:val="22"/>
          <w:szCs w:val="22"/>
        </w:rPr>
        <w:t xml:space="preserve"> € pro Schuljahr.</w:t>
      </w:r>
    </w:p>
    <w:p w14:paraId="5F90091B" w14:textId="619F57D4" w:rsidR="009D02C1" w:rsidRPr="004822F3" w:rsidRDefault="000655B1" w:rsidP="00BB1367">
      <w:pPr>
        <w:jc w:val="both"/>
        <w:rPr>
          <w:rFonts w:asciiTheme="minorHAnsi" w:eastAsia="PMingLiU" w:hAnsiTheme="minorHAnsi" w:cstheme="minorHAnsi"/>
          <w:sz w:val="22"/>
          <w:szCs w:val="22"/>
        </w:rPr>
      </w:pPr>
      <w:r w:rsidRPr="004822F3">
        <w:rPr>
          <w:rFonts w:asciiTheme="minorHAnsi" w:eastAsia="PMingLiU" w:hAnsiTheme="minorHAnsi" w:cstheme="minorHAnsi"/>
          <w:sz w:val="22"/>
          <w:szCs w:val="22"/>
        </w:rPr>
        <w:t xml:space="preserve">Bitte entnehmen Sie der Tabelle, welche Bücher für </w:t>
      </w:r>
      <w:r w:rsidR="00061A31" w:rsidRPr="004822F3">
        <w:rPr>
          <w:rFonts w:asciiTheme="minorHAnsi" w:eastAsia="PMingLiU" w:hAnsiTheme="minorHAnsi" w:cstheme="minorHAnsi"/>
          <w:sz w:val="22"/>
          <w:szCs w:val="22"/>
        </w:rPr>
        <w:t xml:space="preserve">ihr </w:t>
      </w:r>
      <w:r w:rsidRPr="004822F3">
        <w:rPr>
          <w:rFonts w:asciiTheme="minorHAnsi" w:eastAsia="PMingLiU" w:hAnsiTheme="minorHAnsi" w:cstheme="minorHAnsi"/>
          <w:sz w:val="22"/>
          <w:szCs w:val="22"/>
        </w:rPr>
        <w:t xml:space="preserve">Kind für das nächste Schuljahr </w:t>
      </w:r>
      <w:r w:rsidRPr="004822F3">
        <w:rPr>
          <w:rFonts w:asciiTheme="minorHAnsi" w:eastAsia="PMingLiU" w:hAnsiTheme="minorHAnsi" w:cstheme="minorHAnsi"/>
          <w:b/>
          <w:sz w:val="22"/>
          <w:szCs w:val="22"/>
        </w:rPr>
        <w:t>20</w:t>
      </w:r>
      <w:r w:rsidR="00041543">
        <w:rPr>
          <w:rFonts w:asciiTheme="minorHAnsi" w:eastAsia="PMingLiU" w:hAnsiTheme="minorHAnsi" w:cstheme="minorHAnsi"/>
          <w:b/>
          <w:sz w:val="22"/>
          <w:szCs w:val="22"/>
        </w:rPr>
        <w:t>2</w:t>
      </w:r>
      <w:r w:rsidR="00C459C5">
        <w:rPr>
          <w:rFonts w:asciiTheme="minorHAnsi" w:eastAsia="PMingLiU" w:hAnsiTheme="minorHAnsi" w:cstheme="minorHAnsi"/>
          <w:b/>
          <w:sz w:val="22"/>
          <w:szCs w:val="22"/>
        </w:rPr>
        <w:t>2</w:t>
      </w:r>
      <w:r w:rsidRPr="004822F3">
        <w:rPr>
          <w:rFonts w:asciiTheme="minorHAnsi" w:eastAsia="PMingLiU" w:hAnsiTheme="minorHAnsi" w:cstheme="minorHAnsi"/>
          <w:b/>
          <w:sz w:val="22"/>
          <w:szCs w:val="22"/>
        </w:rPr>
        <w:t>/</w:t>
      </w:r>
      <w:r w:rsidR="00543086">
        <w:rPr>
          <w:rFonts w:asciiTheme="minorHAnsi" w:eastAsia="PMingLiU" w:hAnsiTheme="minorHAnsi" w:cstheme="minorHAnsi"/>
          <w:b/>
          <w:sz w:val="22"/>
          <w:szCs w:val="22"/>
        </w:rPr>
        <w:t>2</w:t>
      </w:r>
      <w:r w:rsidR="00C459C5">
        <w:rPr>
          <w:rFonts w:asciiTheme="minorHAnsi" w:eastAsia="PMingLiU" w:hAnsiTheme="minorHAnsi" w:cstheme="minorHAnsi"/>
          <w:b/>
          <w:sz w:val="22"/>
          <w:szCs w:val="22"/>
        </w:rPr>
        <w:t>3</w:t>
      </w:r>
      <w:r w:rsidRPr="004822F3">
        <w:rPr>
          <w:rFonts w:asciiTheme="minorHAnsi" w:eastAsia="PMingLiU" w:hAnsiTheme="minorHAnsi" w:cstheme="minorHAnsi"/>
          <w:sz w:val="22"/>
          <w:szCs w:val="22"/>
        </w:rPr>
        <w:t xml:space="preserve"> angeschafft werden müssen und bestellen Sie diese bitte im Buchhandel</w:t>
      </w:r>
      <w:r w:rsidR="00853F6F" w:rsidRPr="004822F3">
        <w:rPr>
          <w:rFonts w:asciiTheme="minorHAnsi" w:eastAsia="PMingLiU" w:hAnsiTheme="minorHAnsi" w:cstheme="minorHAnsi"/>
          <w:sz w:val="22"/>
          <w:szCs w:val="22"/>
        </w:rPr>
        <w:t xml:space="preserve">. </w:t>
      </w:r>
    </w:p>
    <w:p w14:paraId="426E0B14" w14:textId="79F16691" w:rsidR="009A7CE4" w:rsidRPr="004822F3" w:rsidRDefault="009A7CE4" w:rsidP="009A7CE4">
      <w:pPr>
        <w:jc w:val="both"/>
        <w:rPr>
          <w:rFonts w:asciiTheme="minorHAnsi" w:eastAsia="PMingLiU" w:hAnsiTheme="minorHAnsi" w:cstheme="minorHAnsi"/>
          <w:sz w:val="22"/>
          <w:szCs w:val="22"/>
        </w:rPr>
      </w:pPr>
      <w:r w:rsidRPr="004822F3">
        <w:rPr>
          <w:rFonts w:asciiTheme="minorHAnsi" w:eastAsia="PMingLiU" w:hAnsiTheme="minorHAnsi" w:cstheme="minorHAnsi"/>
          <w:sz w:val="22"/>
          <w:szCs w:val="22"/>
        </w:rPr>
        <w:t xml:space="preserve">(Eventuelle Anschaffungen </w:t>
      </w:r>
      <w:r>
        <w:rPr>
          <w:rFonts w:asciiTheme="minorHAnsi" w:eastAsia="PMingLiU" w:hAnsiTheme="minorHAnsi" w:cstheme="minorHAnsi"/>
          <w:sz w:val="22"/>
          <w:szCs w:val="22"/>
        </w:rPr>
        <w:t xml:space="preserve">von Lektüren u.a. </w:t>
      </w:r>
      <w:r w:rsidRPr="004822F3">
        <w:rPr>
          <w:rFonts w:asciiTheme="minorHAnsi" w:eastAsia="PMingLiU" w:hAnsiTheme="minorHAnsi" w:cstheme="minorHAnsi"/>
          <w:sz w:val="22"/>
          <w:szCs w:val="22"/>
        </w:rPr>
        <w:t xml:space="preserve"> sind hier nicht berücksichtigt.)</w:t>
      </w:r>
    </w:p>
    <w:p w14:paraId="0C0245F1" w14:textId="77777777" w:rsidR="000F779B" w:rsidRDefault="000F779B" w:rsidP="002238DD">
      <w:pPr>
        <w:ind w:right="-288"/>
        <w:jc w:val="both"/>
        <w:rPr>
          <w:rFonts w:asciiTheme="minorHAnsi" w:eastAsia="PMingLiU" w:hAnsiTheme="minorHAnsi" w:cstheme="minorHAnsi"/>
          <w:sz w:val="22"/>
          <w:szCs w:val="22"/>
        </w:rPr>
      </w:pPr>
    </w:p>
    <w:p w14:paraId="4E41D849" w14:textId="77777777" w:rsidR="000F779B" w:rsidRPr="004822F3" w:rsidRDefault="000F779B" w:rsidP="002238DD">
      <w:pPr>
        <w:ind w:right="-288"/>
        <w:jc w:val="both"/>
        <w:rPr>
          <w:rFonts w:asciiTheme="minorHAnsi" w:eastAsia="PMingLiU" w:hAnsiTheme="minorHAnsi" w:cstheme="minorHAnsi"/>
          <w:sz w:val="22"/>
          <w:szCs w:val="22"/>
        </w:rPr>
      </w:pPr>
    </w:p>
    <w:p w14:paraId="4F134907" w14:textId="77777777" w:rsidR="005F37D0" w:rsidRDefault="005F37D0" w:rsidP="002238DD">
      <w:pPr>
        <w:ind w:right="-288"/>
        <w:jc w:val="both"/>
        <w:rPr>
          <w:rFonts w:eastAsia="PMingLiU"/>
          <w:sz w:val="22"/>
          <w:szCs w:val="22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280"/>
        <w:gridCol w:w="2590"/>
        <w:gridCol w:w="1304"/>
        <w:gridCol w:w="2154"/>
        <w:gridCol w:w="780"/>
      </w:tblGrid>
      <w:tr w:rsidR="00746FA4" w14:paraId="4A72211C" w14:textId="77777777" w:rsidTr="007D02D0">
        <w:trPr>
          <w:trHeight w:val="342"/>
        </w:trPr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1E56996" w14:textId="77777777" w:rsidR="00746FA4" w:rsidRPr="003A1384" w:rsidRDefault="00746FA4" w:rsidP="008C551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A1384">
              <w:rPr>
                <w:rFonts w:asciiTheme="minorHAnsi" w:hAnsiTheme="minorHAnsi"/>
                <w:color w:val="000000"/>
                <w:sz w:val="28"/>
                <w:szCs w:val="28"/>
              </w:rPr>
              <w:t>Stufe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9106361" w14:textId="77777777" w:rsidR="00746FA4" w:rsidRPr="003A1384" w:rsidRDefault="00746FA4" w:rsidP="008C551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A1384">
              <w:rPr>
                <w:rFonts w:asciiTheme="minorHAnsi" w:hAnsiTheme="minorHAnsi"/>
                <w:color w:val="000000"/>
                <w:sz w:val="28"/>
                <w:szCs w:val="28"/>
              </w:rPr>
              <w:t>Fach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4C14972" w14:textId="77777777" w:rsidR="00746FA4" w:rsidRPr="003A1384" w:rsidRDefault="00746FA4" w:rsidP="008C551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A1384">
              <w:rPr>
                <w:rFonts w:asciiTheme="minorHAnsi" w:hAnsiTheme="minorHAnsi"/>
                <w:color w:val="000000"/>
                <w:sz w:val="28"/>
                <w:szCs w:val="28"/>
              </w:rPr>
              <w:t>Titel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62B5FA6" w14:textId="77777777" w:rsidR="00746FA4" w:rsidRPr="003A1384" w:rsidRDefault="00746FA4" w:rsidP="008C551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A1384">
              <w:rPr>
                <w:rFonts w:asciiTheme="minorHAnsi" w:hAnsiTheme="minorHAnsi"/>
                <w:color w:val="000000"/>
                <w:sz w:val="28"/>
                <w:szCs w:val="28"/>
              </w:rPr>
              <w:t>Verlag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90136D9" w14:textId="77777777" w:rsidR="00746FA4" w:rsidRPr="003A1384" w:rsidRDefault="00746FA4" w:rsidP="008C551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A1384">
              <w:rPr>
                <w:rFonts w:asciiTheme="minorHAnsi" w:hAnsiTheme="minorHAnsi"/>
                <w:color w:val="000000"/>
                <w:sz w:val="28"/>
                <w:szCs w:val="28"/>
              </w:rPr>
              <w:t>ISBN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EA210FB" w14:textId="77777777" w:rsidR="00746FA4" w:rsidRPr="003A1384" w:rsidRDefault="00746FA4" w:rsidP="000F779B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A1384">
              <w:rPr>
                <w:rFonts w:asciiTheme="minorHAnsi" w:hAnsiTheme="minorHAnsi"/>
                <w:color w:val="000000"/>
                <w:sz w:val="28"/>
                <w:szCs w:val="28"/>
              </w:rPr>
              <w:t>Preis</w:t>
            </w:r>
          </w:p>
        </w:tc>
      </w:tr>
      <w:tr w:rsidR="00746FA4" w14:paraId="553F0FCF" w14:textId="77777777" w:rsidTr="007D02D0">
        <w:trPr>
          <w:trHeight w:val="334"/>
        </w:trPr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D044B" w14:textId="77777777" w:rsidR="00746FA4" w:rsidRDefault="00746FA4" w:rsidP="008C551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C4A71E9" w14:textId="77777777" w:rsidR="00746FA4" w:rsidRDefault="00746FA4" w:rsidP="008C551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F00C81E" w14:textId="77777777" w:rsidR="00746FA4" w:rsidRDefault="00746FA4" w:rsidP="008C551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C0A03E3" w14:textId="77777777" w:rsidR="00746FA4" w:rsidRDefault="00746FA4" w:rsidP="008C551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743DEE6" w14:textId="77777777" w:rsidR="00746FA4" w:rsidRDefault="00746FA4" w:rsidP="008C551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1CB09AD" w14:textId="77777777" w:rsidR="00746FA4" w:rsidRDefault="00746FA4" w:rsidP="008C5514">
            <w:pPr>
              <w:rPr>
                <w:rFonts w:ascii="Comic Sans MS" w:hAnsi="Comic Sans MS"/>
                <w:color w:val="000000"/>
              </w:rPr>
            </w:pPr>
          </w:p>
        </w:tc>
      </w:tr>
      <w:tr w:rsidR="00746FA4" w:rsidRPr="005C557D" w14:paraId="65A357B4" w14:textId="77777777" w:rsidTr="007D02D0">
        <w:trPr>
          <w:trHeight w:val="397"/>
        </w:trPr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497E" w14:textId="77777777" w:rsidR="00746FA4" w:rsidRPr="003A1384" w:rsidRDefault="00746FA4" w:rsidP="008C5514">
            <w:pPr>
              <w:jc w:val="center"/>
              <w:rPr>
                <w:rFonts w:asciiTheme="minorHAnsi" w:eastAsia="PMingLiU" w:hAnsiTheme="minorHAnsi"/>
                <w:b/>
                <w:bCs/>
                <w:color w:val="000000"/>
              </w:rPr>
            </w:pPr>
          </w:p>
          <w:p w14:paraId="29666A0D" w14:textId="77777777" w:rsidR="00746FA4" w:rsidRPr="003A1384" w:rsidRDefault="00746FA4" w:rsidP="008C551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EF</w:t>
            </w:r>
          </w:p>
          <w:p w14:paraId="58FF3130" w14:textId="77777777" w:rsidR="00746FA4" w:rsidRPr="003A1384" w:rsidRDefault="00746FA4" w:rsidP="008C551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0EEEAE" w14:textId="77777777" w:rsidR="00746FA4" w:rsidRPr="000F779B" w:rsidRDefault="00746FA4" w:rsidP="008C55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Deutsch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E766CC" w14:textId="4CB3E580" w:rsidR="00746FA4" w:rsidRPr="000F779B" w:rsidRDefault="00041543" w:rsidP="008C55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Mein Deutsch-Abitur. Basiswissen und Tests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5F74ED" w14:textId="4224987B" w:rsidR="00746FA4" w:rsidRPr="000F779B" w:rsidRDefault="00041543" w:rsidP="008C55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15999C" w14:textId="610F7A8D" w:rsidR="00746FA4" w:rsidRPr="00041543" w:rsidRDefault="00041543" w:rsidP="008C55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43">
              <w:rPr>
                <w:rFonts w:asciiTheme="minorHAnsi" w:hAnsiTheme="minorHAnsi" w:cstheme="minorHAnsi"/>
                <w:sz w:val="22"/>
                <w:szCs w:val="22"/>
              </w:rPr>
              <w:t>978-3-12-310071-0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B2FD11" w14:textId="15EB5CF4" w:rsidR="00746FA4" w:rsidRPr="000F779B" w:rsidRDefault="00746FA4" w:rsidP="005430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0415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C45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</w:tr>
      <w:tr w:rsidR="00746FA4" w:rsidRPr="005C557D" w14:paraId="373023BC" w14:textId="77777777" w:rsidTr="007D02D0">
        <w:trPr>
          <w:trHeight w:val="397"/>
        </w:trPr>
        <w:tc>
          <w:tcPr>
            <w:tcW w:w="9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88F20" w14:textId="77777777" w:rsidR="00746FA4" w:rsidRPr="003A1384" w:rsidRDefault="00746FA4" w:rsidP="008C5514">
            <w:pPr>
              <w:jc w:val="center"/>
              <w:rPr>
                <w:rFonts w:asciiTheme="minorHAnsi" w:eastAsia="PMingLiU" w:hAnsiTheme="minorHAnsi"/>
                <w:b/>
                <w:bCs/>
                <w:color w:val="000000"/>
              </w:rPr>
            </w:pPr>
          </w:p>
          <w:p w14:paraId="34478655" w14:textId="77777777" w:rsidR="00746FA4" w:rsidRPr="003A1384" w:rsidRDefault="00746FA4" w:rsidP="008C551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Q1</w:t>
            </w:r>
          </w:p>
          <w:p w14:paraId="36F93E33" w14:textId="77777777" w:rsidR="00746FA4" w:rsidRPr="003A1384" w:rsidRDefault="00746FA4" w:rsidP="008C551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D403C5" w14:textId="77777777" w:rsidR="00746FA4" w:rsidRPr="000F779B" w:rsidRDefault="00746FA4" w:rsidP="000F77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Mathematik GK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A15CDA" w14:textId="77777777" w:rsidR="00746FA4" w:rsidRPr="000F779B" w:rsidRDefault="00746FA4" w:rsidP="000F77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Lambacher/Schweizer </w:t>
            </w:r>
            <w:r w:rsidR="000F779B"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Gesamtband</w:t>
            </w:r>
            <w:r w:rsidR="000F779B"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GK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74118E" w14:textId="77777777" w:rsidR="00746FA4" w:rsidRPr="000F779B" w:rsidRDefault="00746FA4" w:rsidP="000F77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ED23FD0" w14:textId="77777777" w:rsidR="000F779B" w:rsidRPr="000F779B" w:rsidRDefault="000F779B" w:rsidP="000F77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2E6F67D" w14:textId="77777777" w:rsidR="000F779B" w:rsidRPr="000F779B" w:rsidRDefault="00746FA4" w:rsidP="000F77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978-3-12-735451-5</w:t>
            </w:r>
          </w:p>
          <w:p w14:paraId="118AF0C8" w14:textId="77777777" w:rsidR="00746FA4" w:rsidRPr="000F779B" w:rsidRDefault="00746FA4" w:rsidP="000F77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43D431" w14:textId="1ED5C823" w:rsidR="00746FA4" w:rsidRPr="000F779B" w:rsidRDefault="00C459C5" w:rsidP="00A556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34,75</w:t>
            </w:r>
          </w:p>
        </w:tc>
      </w:tr>
      <w:tr w:rsidR="00746FA4" w:rsidRPr="005C557D" w14:paraId="13E856E3" w14:textId="77777777" w:rsidTr="007D02D0">
        <w:trPr>
          <w:trHeight w:val="397"/>
        </w:trPr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7A529" w14:textId="77777777" w:rsidR="00746FA4" w:rsidRPr="003A1384" w:rsidRDefault="00746FA4" w:rsidP="008C551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E7E2C6" w14:textId="77777777" w:rsidR="00746FA4" w:rsidRPr="000F779B" w:rsidRDefault="00746FA4" w:rsidP="000F77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Mathematik LK</w:t>
            </w:r>
          </w:p>
        </w:tc>
        <w:tc>
          <w:tcPr>
            <w:tcW w:w="267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F38757" w14:textId="77777777" w:rsidR="00746FA4" w:rsidRPr="000F779B" w:rsidRDefault="00746FA4" w:rsidP="000F77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Lambacher/Schweizer </w:t>
            </w:r>
            <w:r w:rsidR="000F779B"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Gesamtband</w:t>
            </w:r>
            <w:r w:rsidR="000F779B"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LK</w:t>
            </w:r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9C0466" w14:textId="77777777" w:rsidR="00746FA4" w:rsidRPr="000F779B" w:rsidRDefault="00746FA4" w:rsidP="000F77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21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619731" w14:textId="77777777" w:rsidR="000F779B" w:rsidRPr="000F779B" w:rsidRDefault="000F779B" w:rsidP="000F77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0F22058" w14:textId="77777777" w:rsidR="00746FA4" w:rsidRPr="000F779B" w:rsidRDefault="00746FA4" w:rsidP="000F77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978-3-12-735441-6 </w:t>
            </w:r>
            <w:r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79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CFBF3D" w14:textId="5D9F749E" w:rsidR="00746FA4" w:rsidRPr="000F779B" w:rsidRDefault="00971032" w:rsidP="00A556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C45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46FA4" w:rsidRPr="000F77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0415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7D02D0" w:rsidRPr="005C557D" w14:paraId="096BBD68" w14:textId="77777777" w:rsidTr="007D02D0">
        <w:trPr>
          <w:trHeight w:val="397"/>
        </w:trPr>
        <w:tc>
          <w:tcPr>
            <w:tcW w:w="989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62935" w14:textId="77777777" w:rsidR="007D02D0" w:rsidRPr="003A1384" w:rsidRDefault="007D02D0" w:rsidP="008C551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57C4C6" w14:textId="10AE9861" w:rsidR="007D02D0" w:rsidRPr="000F779B" w:rsidRDefault="007D02D0" w:rsidP="000F77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Englisch (GK und LK)</w:t>
            </w:r>
          </w:p>
        </w:tc>
        <w:tc>
          <w:tcPr>
            <w:tcW w:w="267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24B6B3" w14:textId="0885A865" w:rsidR="007D02D0" w:rsidRPr="000F779B" w:rsidRDefault="007D02D0" w:rsidP="000F77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Camden Town Oberstufe</w:t>
            </w:r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81B18A" w14:textId="1BC192D9" w:rsidR="007D02D0" w:rsidRPr="000F779B" w:rsidRDefault="007D02D0" w:rsidP="000F77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Westermann</w:t>
            </w:r>
          </w:p>
        </w:tc>
        <w:tc>
          <w:tcPr>
            <w:tcW w:w="21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84E408" w14:textId="041C53E4" w:rsidR="007D02D0" w:rsidRPr="007D02D0" w:rsidRDefault="007D02D0" w:rsidP="000F77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2D0">
              <w:rPr>
                <w:rFonts w:asciiTheme="minorHAnsi" w:hAnsiTheme="minorHAnsi" w:cstheme="minorHAnsi"/>
                <w:sz w:val="22"/>
                <w:szCs w:val="22"/>
              </w:rPr>
              <w:t>978-3-425-73644-0</w:t>
            </w:r>
          </w:p>
        </w:tc>
        <w:tc>
          <w:tcPr>
            <w:tcW w:w="79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2CEC22" w14:textId="3C150692" w:rsidR="007D02D0" w:rsidRDefault="007D02D0" w:rsidP="00A556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25,50</w:t>
            </w:r>
          </w:p>
        </w:tc>
      </w:tr>
      <w:tr w:rsidR="00746FA4" w:rsidRPr="005C557D" w14:paraId="017ECBA7" w14:textId="77777777" w:rsidTr="007D02D0">
        <w:trPr>
          <w:trHeight w:val="397"/>
        </w:trPr>
        <w:tc>
          <w:tcPr>
            <w:tcW w:w="9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0021" w14:textId="77777777" w:rsidR="00746FA4" w:rsidRPr="003A1384" w:rsidRDefault="00746FA4" w:rsidP="008C5514">
            <w:pPr>
              <w:jc w:val="center"/>
              <w:rPr>
                <w:rFonts w:asciiTheme="minorHAnsi" w:eastAsia="PMingLiU" w:hAnsiTheme="minorHAnsi"/>
                <w:b/>
                <w:bCs/>
                <w:color w:val="000000"/>
              </w:rPr>
            </w:pPr>
          </w:p>
          <w:p w14:paraId="3EC3DEA2" w14:textId="77777777" w:rsidR="00746FA4" w:rsidRPr="003A1384" w:rsidRDefault="00746FA4" w:rsidP="008C551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Q2</w:t>
            </w:r>
          </w:p>
          <w:p w14:paraId="7B40D539" w14:textId="77777777" w:rsidR="00746FA4" w:rsidRPr="003A1384" w:rsidRDefault="00746FA4" w:rsidP="008C551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40ECE3" w14:textId="77777777" w:rsidR="00746FA4" w:rsidRPr="004822F3" w:rsidRDefault="00746FA4" w:rsidP="008C551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2CC79A3" w14:textId="77777777" w:rsidR="00746FA4" w:rsidRPr="004822F3" w:rsidRDefault="00746FA4" w:rsidP="008C551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9632C65" w14:textId="77777777" w:rsidR="00746FA4" w:rsidRPr="004822F3" w:rsidRDefault="00746FA4" w:rsidP="008C551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AAFD4A" w14:textId="77777777" w:rsidR="00746FA4" w:rsidRPr="004822F3" w:rsidRDefault="00746FA4" w:rsidP="008C551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C3D2E7" w14:textId="77777777" w:rsidR="00746FA4" w:rsidRPr="005711EA" w:rsidRDefault="00746FA4" w:rsidP="008C551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46FA4" w:rsidRPr="005C557D" w14:paraId="4198805D" w14:textId="77777777" w:rsidTr="007D02D0">
        <w:trPr>
          <w:trHeight w:val="397"/>
        </w:trPr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7013" w14:textId="77777777" w:rsidR="00746FA4" w:rsidRPr="003A1384" w:rsidRDefault="00746FA4" w:rsidP="008C551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381C3" w14:textId="77777777" w:rsidR="00746FA4" w:rsidRPr="005711EA" w:rsidRDefault="00746FA4" w:rsidP="008C5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5FAC4" w14:textId="77777777" w:rsidR="00746FA4" w:rsidRPr="005711EA" w:rsidRDefault="00746FA4" w:rsidP="008C5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224BF" w14:textId="77777777" w:rsidR="00746FA4" w:rsidRPr="005711EA" w:rsidRDefault="00746FA4" w:rsidP="008C5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86A4F" w14:textId="77777777" w:rsidR="00746FA4" w:rsidRPr="005711EA" w:rsidRDefault="00746FA4" w:rsidP="008C5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33803" w14:textId="77777777" w:rsidR="00746FA4" w:rsidRPr="005711EA" w:rsidRDefault="00746FA4" w:rsidP="008C5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2814F3F" w14:textId="77777777" w:rsidR="000231CC" w:rsidRPr="000F779B" w:rsidRDefault="000C7CD1" w:rsidP="000231CC">
      <w:pPr>
        <w:rPr>
          <w:rFonts w:asciiTheme="minorHAnsi" w:hAnsiTheme="minorHAnsi" w:cstheme="minorHAnsi"/>
          <w:sz w:val="16"/>
          <w:szCs w:val="16"/>
        </w:rPr>
      </w:pPr>
      <w:r w:rsidRPr="000F779B">
        <w:rPr>
          <w:rFonts w:asciiTheme="minorHAnsi" w:hAnsiTheme="minorHAnsi" w:cstheme="minorHAnsi"/>
          <w:sz w:val="16"/>
          <w:szCs w:val="16"/>
        </w:rPr>
        <w:t xml:space="preserve">(Für die Aktualität der Preise </w:t>
      </w:r>
      <w:r w:rsidR="000F779B" w:rsidRPr="000F779B">
        <w:rPr>
          <w:rFonts w:asciiTheme="minorHAnsi" w:hAnsiTheme="minorHAnsi" w:cstheme="minorHAnsi"/>
          <w:sz w:val="16"/>
          <w:szCs w:val="16"/>
        </w:rPr>
        <w:t xml:space="preserve"> übernehmen wir keine Garantie</w:t>
      </w:r>
      <w:r w:rsidRPr="000F779B">
        <w:rPr>
          <w:rFonts w:asciiTheme="minorHAnsi" w:hAnsiTheme="minorHAnsi" w:cstheme="minorHAnsi"/>
          <w:sz w:val="16"/>
          <w:szCs w:val="16"/>
        </w:rPr>
        <w:t>)</w:t>
      </w:r>
    </w:p>
    <w:p w14:paraId="05C9E71A" w14:textId="77777777" w:rsidR="000231CC" w:rsidRPr="00555224" w:rsidRDefault="000231CC" w:rsidP="000231CC">
      <w:pPr>
        <w:rPr>
          <w:rFonts w:asciiTheme="minorHAnsi" w:hAnsiTheme="minorHAnsi" w:cstheme="minorHAnsi"/>
        </w:rPr>
      </w:pPr>
    </w:p>
    <w:p w14:paraId="2DB3814D" w14:textId="77777777" w:rsidR="00981E51" w:rsidRDefault="00981E51" w:rsidP="00BB1367">
      <w:pPr>
        <w:ind w:right="-110"/>
        <w:rPr>
          <w:rFonts w:asciiTheme="minorHAnsi" w:eastAsia="PMingLiU" w:hAnsiTheme="minorHAnsi" w:cstheme="minorHAnsi"/>
          <w:b/>
          <w:color w:val="000000" w:themeColor="text1"/>
          <w:sz w:val="22"/>
          <w:szCs w:val="22"/>
        </w:rPr>
      </w:pPr>
    </w:p>
    <w:p w14:paraId="5A742AEE" w14:textId="77777777" w:rsidR="00BB1367" w:rsidRPr="00587A9F" w:rsidRDefault="00BB1367" w:rsidP="00BB1367">
      <w:pPr>
        <w:ind w:right="-110"/>
        <w:rPr>
          <w:rFonts w:asciiTheme="minorHAnsi" w:eastAsia="PMingLiU" w:hAnsiTheme="minorHAnsi" w:cstheme="minorHAnsi"/>
          <w:b/>
          <w:color w:val="000000" w:themeColor="text1"/>
          <w:sz w:val="22"/>
          <w:szCs w:val="22"/>
        </w:rPr>
      </w:pPr>
      <w:r w:rsidRPr="00587A9F">
        <w:rPr>
          <w:rFonts w:asciiTheme="minorHAnsi" w:eastAsia="PMingLiU" w:hAnsiTheme="minorHAnsi" w:cstheme="minorHAnsi"/>
          <w:b/>
          <w:color w:val="000000" w:themeColor="text1"/>
          <w:sz w:val="22"/>
          <w:szCs w:val="22"/>
        </w:rPr>
        <w:t>Weitere Hinweise</w:t>
      </w:r>
    </w:p>
    <w:p w14:paraId="359FE300" w14:textId="7D6352F5" w:rsidR="00BB1367" w:rsidRDefault="00BB1367" w:rsidP="00BB1367">
      <w:pPr>
        <w:numPr>
          <w:ilvl w:val="0"/>
          <w:numId w:val="1"/>
        </w:numPr>
        <w:ind w:right="-110"/>
        <w:rPr>
          <w:rFonts w:asciiTheme="minorHAnsi" w:eastAsia="PMingLiU" w:hAnsiTheme="minorHAnsi" w:cstheme="minorHAnsi"/>
          <w:color w:val="000000" w:themeColor="text1"/>
          <w:sz w:val="22"/>
          <w:szCs w:val="22"/>
        </w:rPr>
      </w:pPr>
      <w:r w:rsidRPr="004822F3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 xml:space="preserve">Alle SchülerInnen kaufen </w:t>
      </w:r>
      <w:r w:rsidR="00981E51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f</w:t>
      </w:r>
      <w:r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ür die Einführungsphase das entsprechende Deutschbuch</w:t>
      </w:r>
      <w:r w:rsidR="00981E51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 xml:space="preserve"> und für die Q-Phase </w:t>
      </w:r>
      <w:r w:rsidR="007D02D0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 xml:space="preserve">sowohl das Englischbuch und </w:t>
      </w:r>
      <w:r w:rsidR="00981E51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ein Mathe</w:t>
      </w:r>
      <w:r w:rsidR="009A7CE4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matik</w:t>
      </w:r>
      <w:r w:rsidR="00981E51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buch</w:t>
      </w:r>
      <w:r w:rsidR="00176673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.</w:t>
      </w:r>
    </w:p>
    <w:p w14:paraId="51D4381D" w14:textId="77777777" w:rsidR="00BB1367" w:rsidRPr="004822F3" w:rsidRDefault="00BB1367" w:rsidP="00BB1367">
      <w:pPr>
        <w:ind w:right="-110"/>
        <w:rPr>
          <w:rFonts w:asciiTheme="minorHAnsi" w:eastAsia="PMingLiU" w:hAnsiTheme="minorHAnsi" w:cstheme="minorHAnsi"/>
          <w:color w:val="000000" w:themeColor="text1"/>
          <w:sz w:val="22"/>
          <w:szCs w:val="22"/>
        </w:rPr>
      </w:pPr>
    </w:p>
    <w:p w14:paraId="55798474" w14:textId="77777777" w:rsidR="00BB1367" w:rsidRPr="004822F3" w:rsidRDefault="00BB1367" w:rsidP="00BB1367">
      <w:pPr>
        <w:numPr>
          <w:ilvl w:val="0"/>
          <w:numId w:val="1"/>
        </w:numPr>
        <w:ind w:right="-110"/>
        <w:rPr>
          <w:rFonts w:asciiTheme="minorHAnsi" w:eastAsia="PMingLiU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Lernende</w:t>
      </w:r>
      <w:r w:rsidRPr="004822F3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, die …</w:t>
      </w:r>
    </w:p>
    <w:p w14:paraId="31DB40C4" w14:textId="19E9A730" w:rsidR="00BB1367" w:rsidRPr="004822F3" w:rsidRDefault="00BB1367" w:rsidP="00BB1367">
      <w:pPr>
        <w:ind w:left="340" w:right="-110"/>
        <w:rPr>
          <w:rFonts w:asciiTheme="minorHAnsi" w:eastAsia="PMingLiU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PMingLiU" w:hAnsiTheme="minorHAnsi" w:cstheme="minorHAnsi"/>
          <w:b/>
          <w:bCs/>
          <w:color w:val="000000" w:themeColor="text1"/>
          <w:sz w:val="22"/>
          <w:szCs w:val="22"/>
        </w:rPr>
        <w:t xml:space="preserve">Mathematik </w:t>
      </w:r>
      <w:r w:rsidRPr="00BB1367">
        <w:rPr>
          <w:rFonts w:asciiTheme="minorHAnsi" w:eastAsia="PMingLiU" w:hAnsiTheme="minorHAnsi" w:cstheme="minorHAnsi"/>
          <w:bCs/>
          <w:color w:val="000000" w:themeColor="text1"/>
          <w:sz w:val="22"/>
          <w:szCs w:val="22"/>
        </w:rPr>
        <w:t>als</w:t>
      </w:r>
      <w:r>
        <w:rPr>
          <w:rFonts w:asciiTheme="minorHAnsi" w:eastAsia="PMingLiU" w:hAnsiTheme="minorHAnsi" w:cstheme="minorHAnsi"/>
          <w:b/>
          <w:bCs/>
          <w:color w:val="000000" w:themeColor="text1"/>
          <w:sz w:val="22"/>
          <w:szCs w:val="22"/>
        </w:rPr>
        <w:t xml:space="preserve"> Grundkurs </w:t>
      </w:r>
      <w:r w:rsidRPr="00BB1367">
        <w:rPr>
          <w:rFonts w:asciiTheme="minorHAnsi" w:eastAsia="PMingLiU" w:hAnsiTheme="minorHAnsi" w:cstheme="minorHAnsi"/>
          <w:bCs/>
          <w:color w:val="000000" w:themeColor="text1"/>
          <w:sz w:val="22"/>
          <w:szCs w:val="22"/>
        </w:rPr>
        <w:t>gewählt haben</w:t>
      </w:r>
      <w:r>
        <w:rPr>
          <w:rFonts w:asciiTheme="minorHAnsi" w:eastAsia="PMingLiU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Pr="004822F3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kaufen</w:t>
      </w:r>
      <w:r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 xml:space="preserve"> für die Q1</w:t>
      </w:r>
      <w:r w:rsidRPr="004822F3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das entsprechende GK-Buch</w:t>
      </w:r>
      <w:r w:rsidR="009A7CE4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.</w:t>
      </w:r>
    </w:p>
    <w:p w14:paraId="435064E3" w14:textId="33A4344B" w:rsidR="00BB1367" w:rsidRPr="004822F3" w:rsidRDefault="00BB1367" w:rsidP="00BB1367">
      <w:pPr>
        <w:ind w:left="340" w:right="-110"/>
        <w:rPr>
          <w:rFonts w:asciiTheme="minorHAnsi" w:eastAsia="PMingLiU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PMingLiU" w:hAnsiTheme="minorHAnsi" w:cstheme="minorHAnsi"/>
          <w:b/>
          <w:bCs/>
          <w:color w:val="000000" w:themeColor="text1"/>
          <w:sz w:val="22"/>
          <w:szCs w:val="22"/>
        </w:rPr>
        <w:t xml:space="preserve">Mathematik </w:t>
      </w:r>
      <w:r w:rsidRPr="00BB1367">
        <w:rPr>
          <w:rFonts w:asciiTheme="minorHAnsi" w:eastAsia="PMingLiU" w:hAnsiTheme="minorHAnsi" w:cstheme="minorHAnsi"/>
          <w:bCs/>
          <w:color w:val="000000" w:themeColor="text1"/>
          <w:sz w:val="22"/>
          <w:szCs w:val="22"/>
        </w:rPr>
        <w:t>als</w:t>
      </w:r>
      <w:r>
        <w:rPr>
          <w:rFonts w:asciiTheme="minorHAnsi" w:eastAsia="PMingLiU" w:hAnsiTheme="minorHAnsi" w:cstheme="minorHAnsi"/>
          <w:b/>
          <w:bCs/>
          <w:color w:val="000000" w:themeColor="text1"/>
          <w:sz w:val="22"/>
          <w:szCs w:val="22"/>
        </w:rPr>
        <w:t xml:space="preserve"> Leistungskurs </w:t>
      </w:r>
      <w:r w:rsidRPr="00BB1367">
        <w:rPr>
          <w:rFonts w:asciiTheme="minorHAnsi" w:eastAsia="PMingLiU" w:hAnsiTheme="minorHAnsi" w:cstheme="minorHAnsi"/>
          <w:bCs/>
          <w:color w:val="000000" w:themeColor="text1"/>
          <w:sz w:val="22"/>
          <w:szCs w:val="22"/>
        </w:rPr>
        <w:t>gewählt haben</w:t>
      </w:r>
      <w:r>
        <w:rPr>
          <w:rFonts w:asciiTheme="minorHAnsi" w:eastAsia="PMingLiU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Pr="004822F3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kaufen</w:t>
      </w:r>
      <w:r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 xml:space="preserve"> für die Q1</w:t>
      </w:r>
      <w:r w:rsidRPr="004822F3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das entsprechende LK-Buch</w:t>
      </w:r>
      <w:r w:rsidR="009A7CE4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.</w:t>
      </w:r>
    </w:p>
    <w:p w14:paraId="7E3B2F74" w14:textId="77777777" w:rsidR="00BB1367" w:rsidRPr="004822F3" w:rsidRDefault="00BB1367" w:rsidP="00BB1367">
      <w:pPr>
        <w:ind w:left="340" w:right="-110"/>
        <w:rPr>
          <w:rFonts w:asciiTheme="minorHAnsi" w:eastAsia="PMingLiU" w:hAnsiTheme="minorHAnsi" w:cstheme="minorHAnsi"/>
          <w:color w:val="000000" w:themeColor="text1"/>
          <w:sz w:val="22"/>
          <w:szCs w:val="22"/>
        </w:rPr>
      </w:pPr>
    </w:p>
    <w:p w14:paraId="3F9870EC" w14:textId="77777777" w:rsidR="00BB1367" w:rsidRDefault="00BB1367" w:rsidP="00BB1367">
      <w:pPr>
        <w:numPr>
          <w:ilvl w:val="0"/>
          <w:numId w:val="1"/>
        </w:numPr>
        <w:ind w:right="-290"/>
        <w:rPr>
          <w:rFonts w:asciiTheme="minorHAnsi" w:eastAsia="PMingLiU" w:hAnsiTheme="minorHAnsi" w:cstheme="minorHAnsi"/>
          <w:color w:val="000000" w:themeColor="text1"/>
          <w:sz w:val="22"/>
          <w:szCs w:val="22"/>
        </w:rPr>
      </w:pPr>
      <w:r w:rsidRPr="00BB1367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 xml:space="preserve">Insgesamt entstehen in der </w:t>
      </w:r>
      <w:r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S</w:t>
      </w:r>
      <w:r w:rsidRPr="00BB1367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ek II</w:t>
      </w:r>
      <w:r w:rsidR="009F1E8B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 xml:space="preserve"> für …</w:t>
      </w:r>
    </w:p>
    <w:p w14:paraId="5630EA45" w14:textId="36811ED9" w:rsidR="00BB1367" w:rsidRPr="004822F3" w:rsidRDefault="00981E51" w:rsidP="00BB1367">
      <w:pPr>
        <w:ind w:left="340" w:right="-290"/>
        <w:rPr>
          <w:rFonts w:asciiTheme="minorHAnsi" w:eastAsia="PMingLiU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PMingLiU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B1367">
        <w:rPr>
          <w:rFonts w:asciiTheme="minorHAnsi" w:eastAsia="PMingLiU" w:hAnsiTheme="minorHAnsi" w:cstheme="minorHAnsi"/>
          <w:b/>
          <w:bCs/>
          <w:color w:val="000000" w:themeColor="text1"/>
          <w:sz w:val="22"/>
          <w:szCs w:val="22"/>
        </w:rPr>
        <w:t>„Mathematik-Grundkursler“</w:t>
      </w:r>
      <w:r w:rsidR="00BB1367" w:rsidRPr="004822F3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 xml:space="preserve">    </w:t>
      </w:r>
      <w:r w:rsidR="00BB1367" w:rsidRPr="004822F3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 xml:space="preserve">Kosten von insgesamt </w:t>
      </w:r>
      <w:r w:rsidR="007D02D0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8</w:t>
      </w:r>
      <w:r w:rsidR="00C459C5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,</w:t>
      </w:r>
      <w:r w:rsidR="00C459C5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20</w:t>
      </w:r>
      <w:r w:rsidR="00BB1367" w:rsidRPr="004822F3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 xml:space="preserve">€, bzw. </w:t>
      </w:r>
      <w:r w:rsidR="007D02D0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2</w:t>
      </w:r>
      <w:r w:rsidR="00C459C5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7</w:t>
      </w:r>
      <w:r w:rsidR="00BB1367" w:rsidRPr="004822F3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,</w:t>
      </w:r>
      <w:r w:rsidR="00C459C5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40</w:t>
      </w:r>
      <w:r w:rsidR="00BB1367" w:rsidRPr="004822F3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€ im Jahresdurchschnitt.</w:t>
      </w:r>
    </w:p>
    <w:p w14:paraId="2D983F6B" w14:textId="591B1F79" w:rsidR="00981E51" w:rsidRPr="00BB1367" w:rsidRDefault="00981E51" w:rsidP="00981E51">
      <w:pPr>
        <w:ind w:left="340" w:right="-290"/>
        <w:rPr>
          <w:rFonts w:asciiTheme="minorHAnsi" w:eastAsia="PMingLiU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PMingLiU" w:hAnsiTheme="minorHAnsi" w:cstheme="minorHAnsi"/>
          <w:b/>
          <w:bCs/>
          <w:color w:val="000000" w:themeColor="text1"/>
          <w:sz w:val="22"/>
          <w:szCs w:val="22"/>
        </w:rPr>
        <w:t>„Mathematik Leistungskursler“</w:t>
      </w:r>
      <w:r w:rsidRPr="00BB1367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 xml:space="preserve"> Kosten von insgesamt </w:t>
      </w:r>
      <w:r w:rsidR="007D02D0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88</w:t>
      </w:r>
      <w:r w:rsidR="00041543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,</w:t>
      </w:r>
      <w:r w:rsidR="007D02D0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5</w:t>
      </w:r>
      <w:r w:rsidR="00041543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0</w:t>
      </w:r>
      <w:r w:rsidRPr="00BB1367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 xml:space="preserve">€, bzw. </w:t>
      </w:r>
      <w:r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2</w:t>
      </w:r>
      <w:r w:rsidR="007D02D0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9</w:t>
      </w:r>
      <w:r w:rsidRPr="00BB1367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,</w:t>
      </w:r>
      <w:r w:rsidR="00C459C5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>92</w:t>
      </w:r>
      <w:r w:rsidRPr="00BB1367">
        <w:rPr>
          <w:rFonts w:asciiTheme="minorHAnsi" w:eastAsia="PMingLiU" w:hAnsiTheme="minorHAnsi" w:cstheme="minorHAnsi"/>
          <w:color w:val="000000" w:themeColor="text1"/>
          <w:sz w:val="22"/>
          <w:szCs w:val="22"/>
        </w:rPr>
        <w:t xml:space="preserve">€ im Jahresdurchschnitt. </w:t>
      </w:r>
    </w:p>
    <w:p w14:paraId="44C5CA5B" w14:textId="77777777" w:rsidR="003A1384" w:rsidRDefault="003A1384" w:rsidP="003A1384">
      <w:pPr>
        <w:ind w:right="-110"/>
        <w:rPr>
          <w:rFonts w:eastAsia="PMingLiU"/>
          <w:color w:val="000000" w:themeColor="text1"/>
          <w:sz w:val="22"/>
          <w:szCs w:val="22"/>
        </w:rPr>
      </w:pPr>
    </w:p>
    <w:p w14:paraId="72F0E0C5" w14:textId="77777777" w:rsidR="000F779B" w:rsidRDefault="000F779B" w:rsidP="003A1384">
      <w:pPr>
        <w:ind w:right="-110"/>
        <w:rPr>
          <w:rFonts w:eastAsia="PMingLiU"/>
          <w:color w:val="000000" w:themeColor="text1"/>
          <w:sz w:val="22"/>
          <w:szCs w:val="22"/>
        </w:rPr>
      </w:pPr>
    </w:p>
    <w:p w14:paraId="1DEBCBFF" w14:textId="77777777" w:rsidR="00FF5DB1" w:rsidRDefault="00FF5DB1" w:rsidP="00FF5DB1">
      <w:pPr>
        <w:rPr>
          <w:rFonts w:asciiTheme="minorHAnsi" w:eastAsia="PMingLiU" w:hAnsiTheme="minorHAnsi" w:cstheme="minorHAnsi"/>
          <w:color w:val="FF0000"/>
        </w:rPr>
      </w:pPr>
    </w:p>
    <w:p w14:paraId="546444BC" w14:textId="77777777" w:rsidR="00981E51" w:rsidRDefault="00981E51" w:rsidP="00FF5DB1">
      <w:pPr>
        <w:rPr>
          <w:rFonts w:asciiTheme="minorHAnsi" w:eastAsia="PMingLiU" w:hAnsiTheme="minorHAnsi" w:cstheme="minorHAnsi"/>
          <w:color w:val="FF0000"/>
        </w:rPr>
      </w:pPr>
    </w:p>
    <w:p w14:paraId="25ADD08B" w14:textId="77777777" w:rsidR="00981E51" w:rsidRDefault="00981E51" w:rsidP="00FF5DB1">
      <w:pPr>
        <w:rPr>
          <w:rFonts w:asciiTheme="minorHAnsi" w:eastAsia="PMingLiU" w:hAnsiTheme="minorHAnsi" w:cstheme="minorHAnsi"/>
          <w:color w:val="FF0000"/>
        </w:rPr>
      </w:pPr>
    </w:p>
    <w:p w14:paraId="18261BB9" w14:textId="77777777" w:rsidR="00981E51" w:rsidRDefault="00981E51" w:rsidP="00FF5DB1">
      <w:pPr>
        <w:rPr>
          <w:rFonts w:asciiTheme="minorHAnsi" w:eastAsia="PMingLiU" w:hAnsiTheme="minorHAnsi" w:cstheme="minorHAnsi"/>
          <w:color w:val="FF0000"/>
        </w:rPr>
      </w:pPr>
    </w:p>
    <w:p w14:paraId="090236AB" w14:textId="77777777" w:rsidR="00981E51" w:rsidRPr="004822F3" w:rsidRDefault="00981E51" w:rsidP="00FF5DB1">
      <w:pPr>
        <w:rPr>
          <w:rFonts w:asciiTheme="minorHAnsi" w:eastAsia="PMingLiU" w:hAnsiTheme="minorHAnsi" w:cstheme="minorHAnsi"/>
          <w:color w:val="FF0000"/>
        </w:rPr>
      </w:pPr>
    </w:p>
    <w:p w14:paraId="34F7E2E9" w14:textId="77777777" w:rsidR="00BD2C25" w:rsidRPr="00981E51" w:rsidRDefault="00BD2C25" w:rsidP="00BD2C25">
      <w:pPr>
        <w:rPr>
          <w:rFonts w:asciiTheme="minorHAnsi" w:eastAsia="PMingLiU" w:hAnsiTheme="minorHAnsi" w:cstheme="minorHAnsi"/>
          <w:sz w:val="18"/>
          <w:szCs w:val="18"/>
        </w:rPr>
      </w:pPr>
      <w:r w:rsidRPr="00981E51">
        <w:rPr>
          <w:rFonts w:asciiTheme="minorHAnsi" w:eastAsia="PMingLiU" w:hAnsiTheme="minorHAnsi" w:cstheme="minorHAnsi"/>
          <w:sz w:val="18"/>
          <w:szCs w:val="18"/>
        </w:rPr>
        <w:t>Mit freundlichen Grüßen</w:t>
      </w:r>
    </w:p>
    <w:p w14:paraId="24C8E59B" w14:textId="2E177E43" w:rsidR="00BD2C25" w:rsidRPr="00981E51" w:rsidRDefault="00176673" w:rsidP="00BD2C25">
      <w:pPr>
        <w:rPr>
          <w:rFonts w:asciiTheme="minorHAnsi" w:hAnsiTheme="minorHAnsi" w:cstheme="minorHAnsi"/>
          <w:noProof/>
          <w:sz w:val="18"/>
          <w:szCs w:val="18"/>
          <w:lang w:bidi="kn-IN"/>
        </w:rPr>
      </w:pPr>
      <w:r>
        <w:rPr>
          <w:rFonts w:asciiTheme="minorHAnsi" w:hAnsiTheme="minorHAnsi" w:cstheme="minorHAnsi"/>
          <w:noProof/>
          <w:sz w:val="18"/>
          <w:szCs w:val="18"/>
          <w:lang w:bidi="kn-IN"/>
        </w:rPr>
        <w:t>J</w:t>
      </w:r>
      <w:r w:rsidR="004822F3" w:rsidRPr="00981E51">
        <w:rPr>
          <w:rFonts w:asciiTheme="minorHAnsi" w:hAnsiTheme="minorHAnsi" w:cstheme="minorHAnsi"/>
          <w:noProof/>
          <w:sz w:val="18"/>
          <w:szCs w:val="18"/>
          <w:lang w:bidi="kn-IN"/>
        </w:rPr>
        <w:t xml:space="preserve">. </w:t>
      </w:r>
      <w:r>
        <w:rPr>
          <w:rFonts w:asciiTheme="minorHAnsi" w:hAnsiTheme="minorHAnsi" w:cstheme="minorHAnsi"/>
          <w:noProof/>
          <w:sz w:val="18"/>
          <w:szCs w:val="18"/>
          <w:lang w:bidi="kn-IN"/>
        </w:rPr>
        <w:t>Stark</w:t>
      </w:r>
    </w:p>
    <w:p w14:paraId="4A1D206F" w14:textId="77777777" w:rsidR="00CD6A60" w:rsidRPr="00981E51" w:rsidRDefault="004822F3" w:rsidP="0080065B">
      <w:pPr>
        <w:rPr>
          <w:rFonts w:eastAsia="PMingLiU"/>
          <w:sz w:val="18"/>
          <w:szCs w:val="18"/>
        </w:rPr>
      </w:pPr>
      <w:r w:rsidRPr="00981E51">
        <w:rPr>
          <w:rFonts w:asciiTheme="minorHAnsi" w:hAnsiTheme="minorHAnsi" w:cstheme="minorHAnsi"/>
          <w:noProof/>
          <w:sz w:val="18"/>
          <w:szCs w:val="18"/>
          <w:lang w:bidi="kn-IN"/>
        </w:rPr>
        <w:t>(Le</w:t>
      </w:r>
      <w:r w:rsidR="00873F12" w:rsidRPr="00981E51">
        <w:rPr>
          <w:rFonts w:asciiTheme="minorHAnsi" w:hAnsiTheme="minorHAnsi" w:cstheme="minorHAnsi"/>
          <w:noProof/>
          <w:sz w:val="18"/>
          <w:szCs w:val="18"/>
          <w:lang w:bidi="kn-IN"/>
        </w:rPr>
        <w:t>r</w:t>
      </w:r>
      <w:r w:rsidR="000F779B" w:rsidRPr="00981E51">
        <w:rPr>
          <w:rFonts w:asciiTheme="minorHAnsi" w:hAnsiTheme="minorHAnsi" w:cstheme="minorHAnsi"/>
          <w:noProof/>
          <w:sz w:val="18"/>
          <w:szCs w:val="18"/>
          <w:lang w:bidi="kn-IN"/>
        </w:rPr>
        <w:t>n</w:t>
      </w:r>
      <w:r w:rsidRPr="00981E51">
        <w:rPr>
          <w:rFonts w:asciiTheme="minorHAnsi" w:hAnsiTheme="minorHAnsi" w:cstheme="minorHAnsi"/>
          <w:noProof/>
          <w:sz w:val="18"/>
          <w:szCs w:val="18"/>
          <w:lang w:bidi="kn-IN"/>
        </w:rPr>
        <w:t>mittelbeauftragter KKG)</w:t>
      </w:r>
    </w:p>
    <w:sectPr w:rsidR="00CD6A60" w:rsidRPr="00981E51" w:rsidSect="003A1384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2162" w14:textId="77777777" w:rsidR="00EC083B" w:rsidRDefault="00EC083B">
      <w:r>
        <w:separator/>
      </w:r>
    </w:p>
  </w:endnote>
  <w:endnote w:type="continuationSeparator" w:id="0">
    <w:p w14:paraId="477E422E" w14:textId="77777777" w:rsidR="00EC083B" w:rsidRDefault="00EC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Lt BT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8636" w14:textId="77777777" w:rsidR="00EC083B" w:rsidRDefault="00EC083B">
      <w:r>
        <w:separator/>
      </w:r>
    </w:p>
  </w:footnote>
  <w:footnote w:type="continuationSeparator" w:id="0">
    <w:p w14:paraId="587049D5" w14:textId="77777777" w:rsidR="00EC083B" w:rsidRDefault="00EC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028C" w14:textId="77777777" w:rsidR="000E5924" w:rsidRDefault="00920A0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D8750A9" wp14:editId="2B2E4062">
              <wp:simplePos x="0" y="0"/>
              <wp:positionH relativeFrom="column">
                <wp:posOffset>-791845</wp:posOffset>
              </wp:positionH>
              <wp:positionV relativeFrom="paragraph">
                <wp:posOffset>4896485</wp:posOffset>
              </wp:positionV>
              <wp:extent cx="144145" cy="0"/>
              <wp:effectExtent l="8255" t="10160" r="9525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FF9A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385.55pt" to="-51pt,3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" strokeweight=".25pt"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868B30A" wp14:editId="53A94C64">
              <wp:simplePos x="0" y="0"/>
              <wp:positionH relativeFrom="column">
                <wp:posOffset>-791845</wp:posOffset>
              </wp:positionH>
              <wp:positionV relativeFrom="paragraph">
                <wp:posOffset>3294380</wp:posOffset>
              </wp:positionV>
              <wp:extent cx="360045" cy="0"/>
              <wp:effectExtent l="8255" t="8255" r="1270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5BE0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259.4pt" to="-34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" strokeweight=".25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A5D1"/>
    <w:multiLevelType w:val="singleLevel"/>
    <w:tmpl w:val="4356CB3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ahoma" w:hAnsi="Tahoma" w:cs="Tahoma"/>
        <w:b/>
        <w:bCs/>
        <w:snapToGrid/>
        <w:spacing w:val="17"/>
        <w:sz w:val="19"/>
        <w:szCs w:val="19"/>
      </w:rPr>
    </w:lvl>
  </w:abstractNum>
  <w:abstractNum w:abstractNumId="1" w15:restartNumberingAfterBreak="0">
    <w:nsid w:val="70942FC7"/>
    <w:multiLevelType w:val="hybridMultilevel"/>
    <w:tmpl w:val="3F0AD87C"/>
    <w:lvl w:ilvl="0" w:tplc="33FA5CE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0959851">
    <w:abstractNumId w:val="1"/>
  </w:num>
  <w:num w:numId="2" w16cid:durableId="1012951367">
    <w:abstractNumId w:val="0"/>
  </w:num>
  <w:num w:numId="3" w16cid:durableId="2017462405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hanging="288"/>
        </w:pPr>
        <w:rPr>
          <w:rFonts w:ascii="Tahoma" w:hAnsi="Tahoma" w:cs="Tahoma"/>
          <w:snapToGrid/>
          <w:spacing w:val="18"/>
          <w:sz w:val="19"/>
          <w:szCs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7E4"/>
    <w:rsid w:val="000231CC"/>
    <w:rsid w:val="00041543"/>
    <w:rsid w:val="00056D09"/>
    <w:rsid w:val="00060F86"/>
    <w:rsid w:val="00061A31"/>
    <w:rsid w:val="000655B1"/>
    <w:rsid w:val="00066939"/>
    <w:rsid w:val="000B4D26"/>
    <w:rsid w:val="000C7CD1"/>
    <w:rsid w:val="000D089D"/>
    <w:rsid w:val="000E5924"/>
    <w:rsid w:val="000F2633"/>
    <w:rsid w:val="000F3C8B"/>
    <w:rsid w:val="000F779B"/>
    <w:rsid w:val="00102C9E"/>
    <w:rsid w:val="00123FD3"/>
    <w:rsid w:val="001712C6"/>
    <w:rsid w:val="00171671"/>
    <w:rsid w:val="00176673"/>
    <w:rsid w:val="001A687F"/>
    <w:rsid w:val="001C5845"/>
    <w:rsid w:val="001C6079"/>
    <w:rsid w:val="001F6336"/>
    <w:rsid w:val="002238DD"/>
    <w:rsid w:val="002308D4"/>
    <w:rsid w:val="00266DF3"/>
    <w:rsid w:val="00295F68"/>
    <w:rsid w:val="002B3BBC"/>
    <w:rsid w:val="0032105C"/>
    <w:rsid w:val="003350A1"/>
    <w:rsid w:val="00366E64"/>
    <w:rsid w:val="003A1384"/>
    <w:rsid w:val="003D7DC4"/>
    <w:rsid w:val="003E16C6"/>
    <w:rsid w:val="00426416"/>
    <w:rsid w:val="004318B6"/>
    <w:rsid w:val="00436B8E"/>
    <w:rsid w:val="00471C9B"/>
    <w:rsid w:val="00480EDA"/>
    <w:rsid w:val="004822F3"/>
    <w:rsid w:val="00483B66"/>
    <w:rsid w:val="004B5057"/>
    <w:rsid w:val="004D62ED"/>
    <w:rsid w:val="004E3813"/>
    <w:rsid w:val="005134D5"/>
    <w:rsid w:val="00543086"/>
    <w:rsid w:val="0054314C"/>
    <w:rsid w:val="005711EA"/>
    <w:rsid w:val="00595754"/>
    <w:rsid w:val="005A61FC"/>
    <w:rsid w:val="005C557D"/>
    <w:rsid w:val="005F37D0"/>
    <w:rsid w:val="00600998"/>
    <w:rsid w:val="006171DB"/>
    <w:rsid w:val="00624B9F"/>
    <w:rsid w:val="006426B1"/>
    <w:rsid w:val="006542C5"/>
    <w:rsid w:val="006601D6"/>
    <w:rsid w:val="006768C4"/>
    <w:rsid w:val="006A3C97"/>
    <w:rsid w:val="006B09E8"/>
    <w:rsid w:val="006C5605"/>
    <w:rsid w:val="006C6EF8"/>
    <w:rsid w:val="006C7D03"/>
    <w:rsid w:val="006F6708"/>
    <w:rsid w:val="00721D5F"/>
    <w:rsid w:val="00726A92"/>
    <w:rsid w:val="00746FA4"/>
    <w:rsid w:val="007619ED"/>
    <w:rsid w:val="00791B65"/>
    <w:rsid w:val="0079289B"/>
    <w:rsid w:val="007B5AB8"/>
    <w:rsid w:val="007B7125"/>
    <w:rsid w:val="007B7D1A"/>
    <w:rsid w:val="007D02D0"/>
    <w:rsid w:val="007F04BD"/>
    <w:rsid w:val="0080065B"/>
    <w:rsid w:val="008306FB"/>
    <w:rsid w:val="00853F6F"/>
    <w:rsid w:val="00873F12"/>
    <w:rsid w:val="008844B7"/>
    <w:rsid w:val="00897CD4"/>
    <w:rsid w:val="008B1710"/>
    <w:rsid w:val="008B4BBF"/>
    <w:rsid w:val="008C692C"/>
    <w:rsid w:val="008E329E"/>
    <w:rsid w:val="008E4702"/>
    <w:rsid w:val="008F6214"/>
    <w:rsid w:val="00900EE8"/>
    <w:rsid w:val="00920A0D"/>
    <w:rsid w:val="009316C5"/>
    <w:rsid w:val="00936138"/>
    <w:rsid w:val="00941FB4"/>
    <w:rsid w:val="00971032"/>
    <w:rsid w:val="00981E51"/>
    <w:rsid w:val="009A7CE4"/>
    <w:rsid w:val="009D02C1"/>
    <w:rsid w:val="009E4CA2"/>
    <w:rsid w:val="009F1E8B"/>
    <w:rsid w:val="009F58DC"/>
    <w:rsid w:val="00A42567"/>
    <w:rsid w:val="00A556AB"/>
    <w:rsid w:val="00A77659"/>
    <w:rsid w:val="00A83A7D"/>
    <w:rsid w:val="00A96F2B"/>
    <w:rsid w:val="00AB343F"/>
    <w:rsid w:val="00AC1360"/>
    <w:rsid w:val="00AC57E4"/>
    <w:rsid w:val="00AE55D6"/>
    <w:rsid w:val="00AF43CB"/>
    <w:rsid w:val="00B01FF4"/>
    <w:rsid w:val="00B113C5"/>
    <w:rsid w:val="00B261B8"/>
    <w:rsid w:val="00B67AA6"/>
    <w:rsid w:val="00B74370"/>
    <w:rsid w:val="00B833E3"/>
    <w:rsid w:val="00BB1367"/>
    <w:rsid w:val="00BB674D"/>
    <w:rsid w:val="00BD2C25"/>
    <w:rsid w:val="00BD63DC"/>
    <w:rsid w:val="00BE2C73"/>
    <w:rsid w:val="00BF443A"/>
    <w:rsid w:val="00C459C5"/>
    <w:rsid w:val="00C558D0"/>
    <w:rsid w:val="00C6475E"/>
    <w:rsid w:val="00C6542B"/>
    <w:rsid w:val="00C87E27"/>
    <w:rsid w:val="00CB7331"/>
    <w:rsid w:val="00CC5117"/>
    <w:rsid w:val="00CD6A60"/>
    <w:rsid w:val="00CD71A6"/>
    <w:rsid w:val="00D050EF"/>
    <w:rsid w:val="00D5584B"/>
    <w:rsid w:val="00D84893"/>
    <w:rsid w:val="00D85A60"/>
    <w:rsid w:val="00DB52DE"/>
    <w:rsid w:val="00E02595"/>
    <w:rsid w:val="00E217A0"/>
    <w:rsid w:val="00E24D91"/>
    <w:rsid w:val="00E37BF4"/>
    <w:rsid w:val="00E55977"/>
    <w:rsid w:val="00E6523F"/>
    <w:rsid w:val="00E66858"/>
    <w:rsid w:val="00E92173"/>
    <w:rsid w:val="00EC083B"/>
    <w:rsid w:val="00EC336C"/>
    <w:rsid w:val="00EF3EE6"/>
    <w:rsid w:val="00F1523C"/>
    <w:rsid w:val="00F21351"/>
    <w:rsid w:val="00F30D7E"/>
    <w:rsid w:val="00F54019"/>
    <w:rsid w:val="00F57080"/>
    <w:rsid w:val="00F574C1"/>
    <w:rsid w:val="00F63574"/>
    <w:rsid w:val="00F84F9A"/>
    <w:rsid w:val="00FA4831"/>
    <w:rsid w:val="00FA68D0"/>
    <w:rsid w:val="00FC5506"/>
    <w:rsid w:val="00FF5DB1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9AC62D"/>
  <w15:docId w15:val="{0EF9536D-9808-4FB4-BD56-710162CF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57E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C57E4"/>
    <w:pPr>
      <w:keepNext/>
      <w:outlineLvl w:val="0"/>
    </w:pPr>
    <w:rPr>
      <w:szCs w:val="20"/>
    </w:rPr>
  </w:style>
  <w:style w:type="paragraph" w:styleId="berschrift4">
    <w:name w:val="heading 4"/>
    <w:basedOn w:val="Standard"/>
    <w:next w:val="Standard"/>
    <w:qFormat/>
    <w:rsid w:val="008E4702"/>
    <w:pPr>
      <w:keepNext/>
      <w:outlineLvl w:val="3"/>
    </w:pPr>
    <w:rPr>
      <w:rFonts w:ascii="Geometr415 Lt BT" w:hAnsi="Geometr415 Lt BT"/>
      <w:i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ss1">
    <w:name w:val="fuss1"/>
    <w:basedOn w:val="Absatz-Standardschriftart"/>
    <w:rsid w:val="00AC57E4"/>
    <w:rPr>
      <w:b/>
      <w:bCs/>
      <w:color w:val="000000"/>
      <w:sz w:val="18"/>
      <w:szCs w:val="18"/>
    </w:rPr>
  </w:style>
  <w:style w:type="paragraph" w:styleId="Kopfzeile">
    <w:name w:val="header"/>
    <w:basedOn w:val="Standard"/>
    <w:rsid w:val="000E59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5924"/>
    <w:pPr>
      <w:tabs>
        <w:tab w:val="center" w:pos="4536"/>
        <w:tab w:val="right" w:pos="9072"/>
      </w:tabs>
    </w:pPr>
  </w:style>
  <w:style w:type="character" w:customStyle="1" w:styleId="size10">
    <w:name w:val="size10"/>
    <w:basedOn w:val="Absatz-Standardschriftart"/>
    <w:rsid w:val="00CD71A6"/>
  </w:style>
  <w:style w:type="character" w:styleId="Hyperlink">
    <w:name w:val="Hyperlink"/>
    <w:basedOn w:val="Absatz-Standardschriftart"/>
    <w:uiPriority w:val="99"/>
    <w:unhideWhenUsed/>
    <w:rsid w:val="00066939"/>
    <w:rPr>
      <w:color w:val="0000FF"/>
      <w:u w:val="single"/>
    </w:rPr>
  </w:style>
  <w:style w:type="paragraph" w:customStyle="1" w:styleId="Default">
    <w:name w:val="Default"/>
    <w:rsid w:val="007D02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Desktop\Brief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Eizo</dc:creator>
  <cp:lastModifiedBy>Jochen Stark</cp:lastModifiedBy>
  <cp:revision>15</cp:revision>
  <cp:lastPrinted>2018-07-05T14:48:00Z</cp:lastPrinted>
  <dcterms:created xsi:type="dcterms:W3CDTF">2019-05-12T10:22:00Z</dcterms:created>
  <dcterms:modified xsi:type="dcterms:W3CDTF">2022-05-15T14:37:00Z</dcterms:modified>
</cp:coreProperties>
</file>